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D2E21" w14:textId="77777777" w:rsidR="00704616" w:rsidRPr="00704616" w:rsidRDefault="00704616" w:rsidP="00704616">
      <w:pPr>
        <w:numPr>
          <w:ilvl w:val="0"/>
          <w:numId w:val="1"/>
        </w:numPr>
        <w:shd w:val="clear" w:color="auto" w:fill="EEEFF0"/>
        <w:spacing w:before="100" w:beforeAutospacing="1" w:after="100" w:afterAutospacing="1" w:line="240" w:lineRule="auto"/>
        <w:rPr>
          <w:rFonts w:ascii="Arial" w:eastAsia="Times New Roman" w:hAnsi="Arial" w:cs="Arial"/>
          <w:color w:val="00556C"/>
          <w:sz w:val="24"/>
          <w:szCs w:val="24"/>
        </w:rPr>
      </w:pPr>
      <w:r w:rsidRPr="00704616">
        <w:rPr>
          <w:rFonts w:ascii="Arial" w:eastAsia="Times New Roman" w:hAnsi="Arial" w:cs="Arial"/>
          <w:color w:val="00556C"/>
          <w:sz w:val="24"/>
          <w:szCs w:val="24"/>
        </w:rPr>
        <w:t>Session description, explaining what topics the session intends to cover and why they are important to be presented in the symposium. </w:t>
      </w:r>
      <w:r w:rsidRPr="00704616">
        <w:rPr>
          <w:rFonts w:ascii="Arial" w:eastAsia="Times New Roman" w:hAnsi="Arial" w:cs="Arial"/>
          <w:b/>
          <w:bCs/>
          <w:color w:val="00556C"/>
          <w:sz w:val="24"/>
          <w:szCs w:val="24"/>
        </w:rPr>
        <w:t>Word limit 250</w:t>
      </w:r>
      <w:r w:rsidRPr="00704616">
        <w:rPr>
          <w:rFonts w:ascii="Arial" w:eastAsia="Times New Roman" w:hAnsi="Arial" w:cs="Arial"/>
          <w:color w:val="00556C"/>
          <w:sz w:val="24"/>
          <w:szCs w:val="24"/>
        </w:rPr>
        <w:t>.</w:t>
      </w:r>
    </w:p>
    <w:p w14:paraId="0B0F7C83" w14:textId="77777777" w:rsidR="00704616" w:rsidRPr="00704616" w:rsidRDefault="00704616" w:rsidP="00704616">
      <w:pPr>
        <w:numPr>
          <w:ilvl w:val="0"/>
          <w:numId w:val="1"/>
        </w:numPr>
        <w:shd w:val="clear" w:color="auto" w:fill="EEEFF0"/>
        <w:spacing w:before="100" w:beforeAutospacing="1" w:after="100" w:afterAutospacing="1" w:line="240" w:lineRule="auto"/>
        <w:rPr>
          <w:rFonts w:ascii="Arial" w:eastAsia="Times New Roman" w:hAnsi="Arial" w:cs="Arial"/>
          <w:color w:val="00556C"/>
          <w:sz w:val="24"/>
          <w:szCs w:val="24"/>
        </w:rPr>
      </w:pPr>
      <w:r w:rsidRPr="00704616">
        <w:rPr>
          <w:rFonts w:ascii="Arial" w:eastAsia="Times New Roman" w:hAnsi="Arial" w:cs="Arial"/>
          <w:color w:val="00556C"/>
          <w:sz w:val="24"/>
          <w:szCs w:val="24"/>
        </w:rPr>
        <w:t>The purpose of the session and the key objectives the organizers would like to achieve with this session. </w:t>
      </w:r>
      <w:r w:rsidRPr="00704616">
        <w:rPr>
          <w:rFonts w:ascii="Arial" w:eastAsia="Times New Roman" w:hAnsi="Arial" w:cs="Arial"/>
          <w:b/>
          <w:bCs/>
          <w:color w:val="00556C"/>
          <w:sz w:val="24"/>
          <w:szCs w:val="24"/>
        </w:rPr>
        <w:t>Word limit 100</w:t>
      </w:r>
      <w:r w:rsidRPr="00704616">
        <w:rPr>
          <w:rFonts w:ascii="Arial" w:eastAsia="Times New Roman" w:hAnsi="Arial" w:cs="Arial"/>
          <w:color w:val="00556C"/>
          <w:sz w:val="24"/>
          <w:szCs w:val="24"/>
        </w:rPr>
        <w:t>.</w:t>
      </w:r>
    </w:p>
    <w:p w14:paraId="6C285CDE" w14:textId="77777777" w:rsidR="00704616" w:rsidRPr="00704616" w:rsidRDefault="00704616" w:rsidP="00704616">
      <w:pPr>
        <w:numPr>
          <w:ilvl w:val="0"/>
          <w:numId w:val="1"/>
        </w:numPr>
        <w:shd w:val="clear" w:color="auto" w:fill="EEEFF0"/>
        <w:spacing w:before="100" w:beforeAutospacing="1" w:after="100" w:afterAutospacing="1" w:line="240" w:lineRule="auto"/>
        <w:rPr>
          <w:rFonts w:ascii="Arial" w:eastAsia="Times New Roman" w:hAnsi="Arial" w:cs="Arial"/>
          <w:color w:val="00556C"/>
          <w:sz w:val="24"/>
          <w:szCs w:val="24"/>
        </w:rPr>
      </w:pPr>
      <w:r w:rsidRPr="00704616">
        <w:rPr>
          <w:rFonts w:ascii="Arial" w:eastAsia="Times New Roman" w:hAnsi="Arial" w:cs="Arial"/>
          <w:color w:val="00556C"/>
          <w:sz w:val="24"/>
          <w:szCs w:val="24"/>
        </w:rPr>
        <w:t>Session contributors, including name, country, why they have been selected and which topics/issues they will cover in their presentations. </w:t>
      </w:r>
      <w:r w:rsidRPr="00704616">
        <w:rPr>
          <w:rFonts w:ascii="Arial" w:eastAsia="Times New Roman" w:hAnsi="Arial" w:cs="Arial"/>
          <w:b/>
          <w:bCs/>
          <w:color w:val="00556C"/>
          <w:sz w:val="24"/>
          <w:szCs w:val="24"/>
        </w:rPr>
        <w:t>Word limit 350</w:t>
      </w:r>
      <w:r w:rsidRPr="00704616">
        <w:rPr>
          <w:rFonts w:ascii="Arial" w:eastAsia="Times New Roman" w:hAnsi="Arial" w:cs="Arial"/>
          <w:color w:val="00556C"/>
          <w:sz w:val="24"/>
          <w:szCs w:val="24"/>
        </w:rPr>
        <w:t>.</w:t>
      </w:r>
    </w:p>
    <w:p w14:paraId="637FA217" w14:textId="77777777" w:rsidR="00704616" w:rsidRPr="00704616" w:rsidRDefault="00704616" w:rsidP="00704616">
      <w:pPr>
        <w:numPr>
          <w:ilvl w:val="0"/>
          <w:numId w:val="1"/>
        </w:numPr>
        <w:shd w:val="clear" w:color="auto" w:fill="EEEFF0"/>
        <w:spacing w:before="100" w:beforeAutospacing="1" w:after="100" w:afterAutospacing="1" w:line="240" w:lineRule="auto"/>
        <w:rPr>
          <w:rFonts w:ascii="Arial" w:eastAsia="Times New Roman" w:hAnsi="Arial" w:cs="Arial"/>
          <w:color w:val="00556C"/>
          <w:sz w:val="24"/>
          <w:szCs w:val="24"/>
        </w:rPr>
      </w:pPr>
      <w:r w:rsidRPr="00704616">
        <w:rPr>
          <w:rFonts w:ascii="Arial" w:eastAsia="Times New Roman" w:hAnsi="Arial" w:cs="Arial"/>
          <w:color w:val="00556C"/>
          <w:sz w:val="24"/>
          <w:szCs w:val="24"/>
        </w:rPr>
        <w:t>Information about how the session will be run, the format and how you plan to engage the audience, what the flow of the 90-minute-long session will look like. Who will chair and who will moderate. </w:t>
      </w:r>
      <w:r w:rsidRPr="00704616">
        <w:rPr>
          <w:rFonts w:ascii="Arial" w:eastAsia="Times New Roman" w:hAnsi="Arial" w:cs="Arial"/>
          <w:b/>
          <w:bCs/>
          <w:color w:val="00556C"/>
          <w:sz w:val="24"/>
          <w:szCs w:val="24"/>
        </w:rPr>
        <w:t>Word limit 100</w:t>
      </w:r>
      <w:r w:rsidRPr="00704616">
        <w:rPr>
          <w:rFonts w:ascii="Arial" w:eastAsia="Times New Roman" w:hAnsi="Arial" w:cs="Arial"/>
          <w:color w:val="00556C"/>
          <w:sz w:val="24"/>
          <w:szCs w:val="24"/>
        </w:rPr>
        <w:t>.</w:t>
      </w:r>
    </w:p>
    <w:p w14:paraId="327A267F" w14:textId="77777777" w:rsidR="00704616" w:rsidRPr="00704616" w:rsidRDefault="00704616" w:rsidP="00704616">
      <w:pPr>
        <w:numPr>
          <w:ilvl w:val="0"/>
          <w:numId w:val="1"/>
        </w:numPr>
        <w:shd w:val="clear" w:color="auto" w:fill="EEEFF0"/>
        <w:spacing w:before="100" w:beforeAutospacing="1" w:after="100" w:afterAutospacing="1" w:line="240" w:lineRule="auto"/>
        <w:rPr>
          <w:rFonts w:ascii="Arial" w:eastAsia="Times New Roman" w:hAnsi="Arial" w:cs="Arial"/>
          <w:color w:val="00556C"/>
          <w:sz w:val="24"/>
          <w:szCs w:val="24"/>
        </w:rPr>
      </w:pPr>
      <w:r w:rsidRPr="00704616">
        <w:rPr>
          <w:rFonts w:ascii="Arial" w:eastAsia="Times New Roman" w:hAnsi="Arial" w:cs="Arial"/>
          <w:color w:val="00556C"/>
          <w:sz w:val="24"/>
          <w:szCs w:val="24"/>
        </w:rPr>
        <w:t>Each contributing author’s abstract providing a brief description of what it covers. Please include each author’s name and the title of the paper. </w:t>
      </w:r>
      <w:r w:rsidRPr="00704616">
        <w:rPr>
          <w:rFonts w:ascii="Arial" w:eastAsia="Times New Roman" w:hAnsi="Arial" w:cs="Arial"/>
          <w:b/>
          <w:bCs/>
          <w:color w:val="00556C"/>
          <w:sz w:val="24"/>
          <w:szCs w:val="24"/>
        </w:rPr>
        <w:t>Word limit 100 words per abstract</w:t>
      </w:r>
      <w:r w:rsidRPr="00704616">
        <w:rPr>
          <w:rFonts w:ascii="Arial" w:eastAsia="Times New Roman" w:hAnsi="Arial" w:cs="Arial"/>
          <w:color w:val="00556C"/>
          <w:sz w:val="24"/>
          <w:szCs w:val="24"/>
        </w:rPr>
        <w:t>.</w:t>
      </w:r>
    </w:p>
    <w:p w14:paraId="13239D52" w14:textId="33B38A88" w:rsidR="00704616" w:rsidRPr="00704616" w:rsidRDefault="00704616" w:rsidP="00704616">
      <w:pPr>
        <w:numPr>
          <w:ilvl w:val="0"/>
          <w:numId w:val="1"/>
        </w:numPr>
        <w:shd w:val="clear" w:color="auto" w:fill="EEEFF0"/>
        <w:spacing w:before="100" w:beforeAutospacing="1" w:after="100" w:afterAutospacing="1" w:line="240" w:lineRule="auto"/>
        <w:rPr>
          <w:rFonts w:ascii="Arial" w:eastAsia="Times New Roman" w:hAnsi="Arial" w:cs="Arial"/>
          <w:color w:val="00556C"/>
          <w:sz w:val="24"/>
          <w:szCs w:val="24"/>
        </w:rPr>
      </w:pPr>
      <w:r w:rsidRPr="00704616">
        <w:rPr>
          <w:rFonts w:ascii="Arial" w:eastAsia="Times New Roman" w:hAnsi="Arial" w:cs="Arial"/>
          <w:color w:val="00556C"/>
          <w:sz w:val="24"/>
          <w:szCs w:val="24"/>
        </w:rPr>
        <w:t>A brief session description that will feature in the Symposium program if your session is accepted. Please note you will not have an opportunity to revise this text if your submission is accepted. </w:t>
      </w:r>
      <w:r w:rsidRPr="00704616">
        <w:rPr>
          <w:rFonts w:ascii="Arial" w:eastAsia="Times New Roman" w:hAnsi="Arial" w:cs="Arial"/>
          <w:b/>
          <w:bCs/>
          <w:color w:val="00556C"/>
          <w:sz w:val="24"/>
          <w:szCs w:val="24"/>
        </w:rPr>
        <w:t>Word limit 50</w:t>
      </w:r>
      <w:r w:rsidRPr="00704616">
        <w:rPr>
          <w:rFonts w:ascii="Arial" w:eastAsia="Times New Roman" w:hAnsi="Arial" w:cs="Arial"/>
          <w:color w:val="00556C"/>
          <w:sz w:val="24"/>
          <w:szCs w:val="24"/>
        </w:rPr>
        <w:t>.</w:t>
      </w:r>
    </w:p>
    <w:p w14:paraId="2E840BE6" w14:textId="6E128778" w:rsidR="00E87E0D" w:rsidRDefault="00E87E0D"/>
    <w:p w14:paraId="3873643D" w14:textId="03E19087" w:rsidR="001C0FB1" w:rsidRPr="001C0FB1" w:rsidRDefault="007B7922" w:rsidP="001C0FB1">
      <w:pPr>
        <w:rPr>
          <w:b/>
          <w:bCs/>
        </w:rPr>
      </w:pPr>
      <w:r>
        <w:rPr>
          <w:b/>
          <w:bCs/>
        </w:rPr>
        <w:t>Should public health programs be integrated into national health insurance? The case of immunization</w:t>
      </w:r>
    </w:p>
    <w:p w14:paraId="4A2D0C65" w14:textId="3D416139" w:rsidR="00E87E0D" w:rsidRDefault="00E87E0D">
      <w:bookmarkStart w:id="0" w:name="_GoBack"/>
      <w:bookmarkEnd w:id="0"/>
    </w:p>
    <w:p w14:paraId="103B9C14" w14:textId="07D3B414" w:rsidR="00E87E0D" w:rsidRDefault="002D12A4">
      <w:r w:rsidRPr="002D12A4">
        <w:rPr>
          <w:b/>
          <w:bCs/>
        </w:rPr>
        <w:t>Session Description</w:t>
      </w:r>
      <w:r>
        <w:t xml:space="preserve">. </w:t>
      </w:r>
      <w:r w:rsidR="007B7922">
        <w:t>Many middl</w:t>
      </w:r>
      <w:r w:rsidR="00777981">
        <w:t>e-</w:t>
      </w:r>
      <w:r w:rsidR="007B7922">
        <w:t xml:space="preserve">income countries are developing national health insurance (NHI) as a way to reduce the financial risks from health costs for individuals and improve the purchasing and provision of services.   For </w:t>
      </w:r>
      <w:r w:rsidR="00777981">
        <w:t xml:space="preserve">some countries, </w:t>
      </w:r>
      <w:r w:rsidR="007B7922">
        <w:t xml:space="preserve">the design and implementation of NHI coincides with other health system changes, such as the transition away from donor support for programs such as immunization. </w:t>
      </w:r>
      <w:r>
        <w:t xml:space="preserve"> One important design issue is how responsibilities for financing and delivering public health functions should be handled in national health insurance systems.  Are there aspects of public health programs that can be integrated into the benefits package, or should the package focus mainly on curative care with the Ministry of Health, typically, continuing to be responsible for public health programs? This session looks at the case of immunization in three countries, from three regions, that have established national health insurance</w:t>
      </w:r>
      <w:r w:rsidR="001C0FB1">
        <w:t xml:space="preserve">. The countries include </w:t>
      </w:r>
      <w:r>
        <w:t xml:space="preserve">Georgia, Ghana, and Indonesia. </w:t>
      </w:r>
      <w:r w:rsidR="001C0FB1">
        <w:t xml:space="preserve">The session will examine </w:t>
      </w:r>
      <w:r>
        <w:t>experience to date in order to highlight important considerations for public programs as national health insurance systems are developed.  Lack of attention to these considerations could results in setbacks to important public health programs.</w:t>
      </w:r>
      <w:r w:rsidR="00C87975">
        <w:t xml:space="preserve"> The session will also focus on how countries have or are planning to transition from Gavi, the Vaccine Alliance, support in the context of important health system changes. Gavi is the largest single source of external support for immunization programs. </w:t>
      </w:r>
    </w:p>
    <w:p w14:paraId="5C26A2FD" w14:textId="5147B474" w:rsidR="001C0FB1" w:rsidRDefault="001C0FB1"/>
    <w:p w14:paraId="46E2993C" w14:textId="0D578B4C" w:rsidR="001C0FB1" w:rsidRDefault="001C0FB1">
      <w:r w:rsidRPr="001C0FB1">
        <w:rPr>
          <w:b/>
          <w:bCs/>
        </w:rPr>
        <w:t>Purpose of session and key objectives</w:t>
      </w:r>
      <w:r>
        <w:t xml:space="preserve">.  The session is intended to provide the conference participants with a framework for thinking about public health programs in the context of national health insurance, using immunization as the example. It will enable participants to understand design choices that different countries have made, and why, on how immunization functions are handled across the Ministry of Health and National Health Insurance Agency, the challenges that have emerged, and how they have been or might be handled. </w:t>
      </w:r>
    </w:p>
    <w:p w14:paraId="7287AD9C" w14:textId="5A1C330E" w:rsidR="001C0FB1" w:rsidRDefault="001C0FB1"/>
    <w:p w14:paraId="7F342844" w14:textId="545400BB" w:rsidR="001C0FB1" w:rsidRDefault="001C0FB1">
      <w:r w:rsidRPr="001C0FB1">
        <w:rPr>
          <w:b/>
          <w:bCs/>
        </w:rPr>
        <w:t>Session contributors</w:t>
      </w:r>
      <w:r>
        <w:t xml:space="preserve">. </w:t>
      </w:r>
    </w:p>
    <w:p w14:paraId="1DB3088B" w14:textId="4A4C3109" w:rsidR="001C0FB1" w:rsidRDefault="001C0FB1" w:rsidP="001C0FB1">
      <w:pPr>
        <w:pStyle w:val="ListParagraph"/>
        <w:numPr>
          <w:ilvl w:val="0"/>
          <w:numId w:val="2"/>
        </w:numPr>
      </w:pPr>
      <w:r>
        <w:t>Cheryl Cashin, Managing Director, Results for Development, USA. Cheryl Cashin is a health economist with expertise on financing systems, national health insurance</w:t>
      </w:r>
      <w:r w:rsidR="005F42F8">
        <w:t>,</w:t>
      </w:r>
      <w:r>
        <w:t xml:space="preserve"> and provider payment systems. </w:t>
      </w:r>
      <w:r w:rsidR="005F42F8">
        <w:t>She has supported the Joint Learning Network for Universal Health Coverage and the Learning Network for Countries in Transition. Cheryl was selected because she has both a broad understanding of health insurance system issues as well as considerable on-the-ground experience in addressing specific policy design and implementation issues.</w:t>
      </w:r>
    </w:p>
    <w:p w14:paraId="414B9CA0" w14:textId="66389EBC" w:rsidR="005F42F8" w:rsidRDefault="005F42F8" w:rsidP="001C0FB1">
      <w:pPr>
        <w:pStyle w:val="ListParagraph"/>
        <w:numPr>
          <w:ilvl w:val="0"/>
          <w:numId w:val="2"/>
        </w:numPr>
      </w:pPr>
      <w:r>
        <w:t>XXX, XXX, Georgia. XXX is a government staff with considerable knowledge of how Georgia’s national insurance system has incorporated immunization into its benefit package. She/he can speak to what functions are handled by the National Center for Disease Control and Public Health</w:t>
      </w:r>
      <w:r w:rsidR="007B7922">
        <w:t xml:space="preserve"> and what functions are handled by the Social </w:t>
      </w:r>
      <w:r w:rsidR="001F0103">
        <w:t>Service</w:t>
      </w:r>
      <w:r w:rsidR="007B7922">
        <w:t xml:space="preserve"> Agency</w:t>
      </w:r>
      <w:r>
        <w:t>, and how immunization services are bundled into capitated payments to private primary health care facilities, and the challenges that have emerged from this design.</w:t>
      </w:r>
      <w:r w:rsidR="00777981">
        <w:t xml:space="preserve"> Georgia has </w:t>
      </w:r>
      <w:r w:rsidR="00C87975">
        <w:t xml:space="preserve">now </w:t>
      </w:r>
      <w:r w:rsidR="00777981">
        <w:t>fully transitioned from Gavi, the Vaccine Allianc</w:t>
      </w:r>
      <w:r w:rsidR="00C87975">
        <w:t xml:space="preserve">e. It is funding 100% of its immunization program on its own. </w:t>
      </w:r>
    </w:p>
    <w:p w14:paraId="2E45DC94" w14:textId="08D7E921" w:rsidR="005F42F8" w:rsidRDefault="005F42F8" w:rsidP="001C0FB1">
      <w:pPr>
        <w:pStyle w:val="ListParagraph"/>
        <w:numPr>
          <w:ilvl w:val="0"/>
          <w:numId w:val="2"/>
        </w:numPr>
      </w:pPr>
      <w:r>
        <w:t xml:space="preserve">YYY, Ghana. YYY </w:t>
      </w:r>
      <w:r w:rsidR="00777981">
        <w:t xml:space="preserve">works for the </w:t>
      </w:r>
      <w:r>
        <w:t xml:space="preserve">Ministry of Health. In Ghana, immunization is not included in the National Health Insurance Scheme benefits package. The Ministry of Health is fully responsible for the national immunization program. YYY will explain how the Ministry’s ability to carry out these functions has been impacted by the National Health Insurance Scheme. </w:t>
      </w:r>
      <w:r w:rsidR="00C87975">
        <w:t xml:space="preserve"> Ghana is in the very early stages of preparing for transition from Gavi support.</w:t>
      </w:r>
    </w:p>
    <w:p w14:paraId="4D2D4CD4" w14:textId="1C7A52C4" w:rsidR="005F42F8" w:rsidRDefault="005F42F8" w:rsidP="001C0FB1">
      <w:pPr>
        <w:pStyle w:val="ListParagraph"/>
        <w:numPr>
          <w:ilvl w:val="0"/>
          <w:numId w:val="2"/>
        </w:numPr>
      </w:pPr>
      <w:r>
        <w:t xml:space="preserve">ZZZ, Indonesia. ZZZ is a researcher at the XXX. She/he will explain how Indonesia’s national health insurance has evolved in recent years, including how it pays private and public facilities to provide services. Immunization services are bundled into the package, but problems have emerged in understanding different parties roles and responsibilities. </w:t>
      </w:r>
      <w:r w:rsidR="00C87975">
        <w:t xml:space="preserve"> Like Georgia, Indonesia has also recently transitioned from Gavi support.</w:t>
      </w:r>
    </w:p>
    <w:p w14:paraId="124A8450" w14:textId="6EF8F1CF" w:rsidR="005F42F8" w:rsidRDefault="005F42F8" w:rsidP="005F42F8"/>
    <w:p w14:paraId="5F618FC7" w14:textId="140BCC5B" w:rsidR="005F42F8" w:rsidRDefault="005F42F8" w:rsidP="005F42F8">
      <w:r w:rsidRPr="00D65874">
        <w:rPr>
          <w:b/>
          <w:bCs/>
        </w:rPr>
        <w:t>How session will be run</w:t>
      </w:r>
      <w:r>
        <w:t xml:space="preserve">. Cheryl Cashin will open the session with a framing presentation of about 20 minutes. Then </w:t>
      </w:r>
      <w:r w:rsidR="00D65874">
        <w:t xml:space="preserve">the panel of </w:t>
      </w:r>
      <w:r>
        <w:t xml:space="preserve">country representative will use 3-4 slides to </w:t>
      </w:r>
      <w:r w:rsidR="00D65874">
        <w:t xml:space="preserve">each </w:t>
      </w:r>
      <w:r>
        <w:t xml:space="preserve">explain how </w:t>
      </w:r>
      <w:r w:rsidR="00D65874">
        <w:t xml:space="preserve">immunization functions are handled in their countries, either by the National Health Insurance Agency, the MOH, or a mix, and the challenges that have arisen in their system for immunization (30 minutes). Cheryl will then ask a couple of questions of the panel before opening it to audience questions and comments (35 minutes). Cheryl will sum up key lessons at the conclusion of the session (5 minutes).  </w:t>
      </w:r>
    </w:p>
    <w:p w14:paraId="0A8D8AEA" w14:textId="7316D8C5" w:rsidR="00D65874" w:rsidRDefault="00D65874" w:rsidP="005F42F8"/>
    <w:p w14:paraId="5D00DA25" w14:textId="252E7547" w:rsidR="00D65874" w:rsidRDefault="00D65874" w:rsidP="005F42F8">
      <w:r w:rsidRPr="00D65874">
        <w:rPr>
          <w:b/>
          <w:bCs/>
        </w:rPr>
        <w:t>Each contributing authors’ abstract</w:t>
      </w:r>
      <w:r>
        <w:t>. N/A</w:t>
      </w:r>
    </w:p>
    <w:p w14:paraId="6125D449" w14:textId="79CAF63F" w:rsidR="00C87975" w:rsidRDefault="00D65874" w:rsidP="00C87975">
      <w:r w:rsidRPr="00D65874">
        <w:rPr>
          <w:b/>
          <w:bCs/>
        </w:rPr>
        <w:t>Brief session description to go into program (50 words)</w:t>
      </w:r>
      <w:r>
        <w:t xml:space="preserve">. </w:t>
      </w:r>
      <w:r w:rsidR="00C87975">
        <w:t>This session examines how the immunization program</w:t>
      </w:r>
      <w:r w:rsidR="00E74E34">
        <w:t>s</w:t>
      </w:r>
      <w:r w:rsidR="00C87975">
        <w:t xml:space="preserve"> in Georgia, Ghana, and Indonesia ha</w:t>
      </w:r>
      <w:r w:rsidR="00E74E34">
        <w:t xml:space="preserve">ve </w:t>
      </w:r>
      <w:r w:rsidR="00C87975">
        <w:t xml:space="preserve">adapted to </w:t>
      </w:r>
      <w:r w:rsidR="00E74E34">
        <w:t xml:space="preserve">the introduction of </w:t>
      </w:r>
      <w:r w:rsidR="00C87975">
        <w:t xml:space="preserve">national health insurance—what challenges have arisen, and how they have been addressed. </w:t>
      </w:r>
      <w:r w:rsidR="00E74E34">
        <w:t xml:space="preserve">This has also coincided with the </w:t>
      </w:r>
      <w:r w:rsidR="00C87975">
        <w:t>transition</w:t>
      </w:r>
      <w:r w:rsidR="00E74E34">
        <w:t xml:space="preserve"> </w:t>
      </w:r>
      <w:r w:rsidR="00C87975">
        <w:t xml:space="preserve">from donor funding from immunization.  </w:t>
      </w:r>
    </w:p>
    <w:p w14:paraId="7F55169E" w14:textId="6CA716E2" w:rsidR="00D65874" w:rsidRDefault="00D65874" w:rsidP="005F42F8"/>
    <w:sectPr w:rsidR="00D65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845B5"/>
    <w:multiLevelType w:val="hybridMultilevel"/>
    <w:tmpl w:val="DD38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3693E"/>
    <w:multiLevelType w:val="multilevel"/>
    <w:tmpl w:val="72B0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C43D9"/>
    <w:multiLevelType w:val="hybridMultilevel"/>
    <w:tmpl w:val="9C4C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E3CDB"/>
    <w:multiLevelType w:val="hybridMultilevel"/>
    <w:tmpl w:val="9BAC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16"/>
    <w:rsid w:val="00115C45"/>
    <w:rsid w:val="001273AC"/>
    <w:rsid w:val="001359D7"/>
    <w:rsid w:val="00155255"/>
    <w:rsid w:val="001C0FB1"/>
    <w:rsid w:val="001F0103"/>
    <w:rsid w:val="002D12A4"/>
    <w:rsid w:val="005F42F8"/>
    <w:rsid w:val="00704616"/>
    <w:rsid w:val="007442F3"/>
    <w:rsid w:val="00777981"/>
    <w:rsid w:val="007B7922"/>
    <w:rsid w:val="00A54D68"/>
    <w:rsid w:val="00AF7A73"/>
    <w:rsid w:val="00C87975"/>
    <w:rsid w:val="00D61EDA"/>
    <w:rsid w:val="00D65874"/>
    <w:rsid w:val="00E24632"/>
    <w:rsid w:val="00E74E34"/>
    <w:rsid w:val="00E87E0D"/>
    <w:rsid w:val="00EA73C9"/>
    <w:rsid w:val="00F8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DC8A"/>
  <w15:chartTrackingRefBased/>
  <w15:docId w15:val="{33C4E516-7BD2-4477-A6DD-74B23334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FB1"/>
    <w:pPr>
      <w:ind w:left="720"/>
      <w:contextualSpacing/>
    </w:pPr>
  </w:style>
  <w:style w:type="character" w:styleId="CommentReference">
    <w:name w:val="annotation reference"/>
    <w:basedOn w:val="DefaultParagraphFont"/>
    <w:uiPriority w:val="99"/>
    <w:semiHidden/>
    <w:unhideWhenUsed/>
    <w:rsid w:val="00D61EDA"/>
    <w:rPr>
      <w:sz w:val="16"/>
      <w:szCs w:val="16"/>
    </w:rPr>
  </w:style>
  <w:style w:type="paragraph" w:styleId="CommentText">
    <w:name w:val="annotation text"/>
    <w:basedOn w:val="Normal"/>
    <w:link w:val="CommentTextChar"/>
    <w:uiPriority w:val="99"/>
    <w:semiHidden/>
    <w:unhideWhenUsed/>
    <w:rsid w:val="00D61EDA"/>
    <w:pPr>
      <w:spacing w:line="240" w:lineRule="auto"/>
    </w:pPr>
    <w:rPr>
      <w:sz w:val="20"/>
      <w:szCs w:val="20"/>
    </w:rPr>
  </w:style>
  <w:style w:type="character" w:customStyle="1" w:styleId="CommentTextChar">
    <w:name w:val="Comment Text Char"/>
    <w:basedOn w:val="DefaultParagraphFont"/>
    <w:link w:val="CommentText"/>
    <w:uiPriority w:val="99"/>
    <w:semiHidden/>
    <w:rsid w:val="00D61EDA"/>
    <w:rPr>
      <w:sz w:val="20"/>
      <w:szCs w:val="20"/>
    </w:rPr>
  </w:style>
  <w:style w:type="paragraph" w:styleId="CommentSubject">
    <w:name w:val="annotation subject"/>
    <w:basedOn w:val="CommentText"/>
    <w:next w:val="CommentText"/>
    <w:link w:val="CommentSubjectChar"/>
    <w:uiPriority w:val="99"/>
    <w:semiHidden/>
    <w:unhideWhenUsed/>
    <w:rsid w:val="00D61EDA"/>
    <w:rPr>
      <w:b/>
      <w:bCs/>
    </w:rPr>
  </w:style>
  <w:style w:type="character" w:customStyle="1" w:styleId="CommentSubjectChar">
    <w:name w:val="Comment Subject Char"/>
    <w:basedOn w:val="CommentTextChar"/>
    <w:link w:val="CommentSubject"/>
    <w:uiPriority w:val="99"/>
    <w:semiHidden/>
    <w:rsid w:val="00D61EDA"/>
    <w:rPr>
      <w:b/>
      <w:bCs/>
      <w:sz w:val="20"/>
      <w:szCs w:val="20"/>
    </w:rPr>
  </w:style>
  <w:style w:type="paragraph" w:styleId="BalloonText">
    <w:name w:val="Balloon Text"/>
    <w:basedOn w:val="Normal"/>
    <w:link w:val="BalloonTextChar"/>
    <w:uiPriority w:val="99"/>
    <w:semiHidden/>
    <w:unhideWhenUsed/>
    <w:rsid w:val="00D61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EDA"/>
    <w:rPr>
      <w:rFonts w:ascii="Segoe UI" w:hAnsi="Segoe UI" w:cs="Segoe UI"/>
      <w:sz w:val="18"/>
      <w:szCs w:val="18"/>
    </w:rPr>
  </w:style>
  <w:style w:type="paragraph" w:styleId="Revision">
    <w:name w:val="Revision"/>
    <w:hidden/>
    <w:uiPriority w:val="99"/>
    <w:semiHidden/>
    <w:rsid w:val="007B79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953940">
      <w:bodyDiv w:val="1"/>
      <w:marLeft w:val="0"/>
      <w:marRight w:val="0"/>
      <w:marTop w:val="0"/>
      <w:marBottom w:val="0"/>
      <w:divBdr>
        <w:top w:val="none" w:sz="0" w:space="0" w:color="auto"/>
        <w:left w:val="none" w:sz="0" w:space="0" w:color="auto"/>
        <w:bottom w:val="none" w:sz="0" w:space="0" w:color="auto"/>
        <w:right w:val="none" w:sz="0" w:space="0" w:color="auto"/>
      </w:divBdr>
    </w:div>
    <w:div w:id="9431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W-Author xmlns="2af4539b-39f3-4771-ac1a-16de5a20c394">
      <UserInfo>
        <DisplayName/>
        <AccountId xsi:nil="true"/>
        <AccountType/>
      </UserInfo>
    </OW-Author>
    <OW-BriefDescription xmlns="2af4539b-39f3-4771-ac1a-16de5a20c394" xsi:nil="true"/>
    <_ip_UnifiedCompliancePolicyProperties xmlns="http://schemas.microsoft.com/sharepoint/v3" xsi:nil="true"/>
    <kd16009dc51444af92aa78db77815af5 xmlns="2af4539b-39f3-4771-ac1a-16de5a20c394">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dc69edcd-43cc-4690-a0cd-73f1415cf1ed</TermId>
        </TermInfo>
      </Terms>
    </kd16009dc51444af92aa78db77815af5>
    <TaxCatchAll xmlns="2af4539b-39f3-4771-ac1a-16de5a20c394">
      <Value>123</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W-Document" ma:contentTypeID="0x010100C4C8B401AAE50B4896808F1C5415D9AD007C27743072DFDD458C10732A45EA6922" ma:contentTypeVersion="18" ma:contentTypeDescription="Create a new document." ma:contentTypeScope="" ma:versionID="60155f6109c2b41b66fd8023cec32d60">
  <xsd:schema xmlns:xsd="http://www.w3.org/2001/XMLSchema" xmlns:xs="http://www.w3.org/2001/XMLSchema" xmlns:p="http://schemas.microsoft.com/office/2006/metadata/properties" xmlns:ns1="http://schemas.microsoft.com/sharepoint/v3" xmlns:ns2="2af4539b-39f3-4771-ac1a-16de5a20c394" xmlns:ns3="768c69c3-fa35-427a-bd39-62ed8a1a923f" targetNamespace="http://schemas.microsoft.com/office/2006/metadata/properties" ma:root="true" ma:fieldsID="c01262a45bb305287eaebd128859aa6a" ns1:_="" ns2:_="" ns3:_="">
    <xsd:import namespace="http://schemas.microsoft.com/sharepoint/v3"/>
    <xsd:import namespace="2af4539b-39f3-4771-ac1a-16de5a20c394"/>
    <xsd:import namespace="768c69c3-fa35-427a-bd39-62ed8a1a923f"/>
    <xsd:element name="properties">
      <xsd:complexType>
        <xsd:sequence>
          <xsd:element name="documentManagement">
            <xsd:complexType>
              <xsd:all>
                <xsd:element ref="ns2:kd16009dc51444af92aa78db77815af5" minOccurs="0"/>
                <xsd:element ref="ns2:TaxCatchAll" minOccurs="0"/>
                <xsd:element ref="ns2:TaxCatchAllLabel" minOccurs="0"/>
                <xsd:element ref="ns2:OW-Author" minOccurs="0"/>
                <xsd:element ref="ns2:OW-BriefDescrip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2:SharedWithUsers" minOccurs="0"/>
                <xsd:element ref="ns2: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4539b-39f3-4771-ac1a-16de5a20c394" elementFormDefault="qualified">
    <xsd:import namespace="http://schemas.microsoft.com/office/2006/documentManagement/types"/>
    <xsd:import namespace="http://schemas.microsoft.com/office/infopath/2007/PartnerControls"/>
    <xsd:element name="kd16009dc51444af92aa78db77815af5" ma:index="8" nillable="true" ma:taxonomy="true" ma:internalName="kd16009dc51444af92aa78db77815af5" ma:taxonomyFieldName="OW_x002d_Topics" ma:displayName="OW-Topics" ma:default="123;#Health|dc69edcd-43cc-4690-a0cd-73f1415cf1ed" ma:fieldId="{4d16009d-c514-44af-92aa-78db77815af5}" ma:taxonomyMulti="true" ma:sspId="99a65aa6-ac8d-46e4-9aa8-b40f8e8101fc" ma:termSetId="a91bfab0-4954-4226-aefc-bfb92684985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2858f98-1365-490f-9ce0-cc7840cd00c3}" ma:internalName="TaxCatchAll" ma:showField="CatchAllData" ma:web="2af4539b-39f3-4771-ac1a-16de5a20c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858f98-1365-490f-9ce0-cc7840cd00c3}" ma:internalName="TaxCatchAllLabel" ma:readOnly="true" ma:showField="CatchAllDataLabel" ma:web="2af4539b-39f3-4771-ac1a-16de5a20c394">
      <xsd:complexType>
        <xsd:complexContent>
          <xsd:extension base="dms:MultiChoiceLookup">
            <xsd:sequence>
              <xsd:element name="Value" type="dms:Lookup" maxOccurs="unbounded" minOccurs="0" nillable="true"/>
            </xsd:sequence>
          </xsd:extension>
        </xsd:complexContent>
      </xsd:complexType>
    </xsd:element>
    <xsd:element name="OW-Author" ma:index="12" nillable="true" ma:displayName="OW-Author" ma:list="UserInfo" ma:SharePointGroup="0" ma:internalName="OW_x002d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BriefDescription" ma:index="13" nillable="true" ma:displayName="OW-Brief Description" ma:internalName="OW_x002d_BriefDescription">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8c69c3-fa35-427a-bd39-62ed8a1a923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17EEE-C7DF-47FD-BCD2-8CE35F885707}">
  <ds:schemaRefs>
    <ds:schemaRef ds:uri="http://schemas.microsoft.com/sharepoint/v3/contenttype/forms"/>
  </ds:schemaRefs>
</ds:datastoreItem>
</file>

<file path=customXml/itemProps2.xml><?xml version="1.0" encoding="utf-8"?>
<ds:datastoreItem xmlns:ds="http://schemas.openxmlformats.org/officeDocument/2006/customXml" ds:itemID="{5C75D869-292D-46BE-8F1F-DE2BFA5C3F56}">
  <ds:schemaRefs>
    <ds:schemaRef ds:uri="http://schemas.microsoft.com/office/2006/metadata/properties"/>
    <ds:schemaRef ds:uri="http://schemas.microsoft.com/office/infopath/2007/PartnerControls"/>
    <ds:schemaRef ds:uri="http://schemas.microsoft.com/sharepoint/v3"/>
    <ds:schemaRef ds:uri="2af4539b-39f3-4771-ac1a-16de5a20c394"/>
  </ds:schemaRefs>
</ds:datastoreItem>
</file>

<file path=customXml/itemProps3.xml><?xml version="1.0" encoding="utf-8"?>
<ds:datastoreItem xmlns:ds="http://schemas.openxmlformats.org/officeDocument/2006/customXml" ds:itemID="{BD666D67-D5A6-4884-BA4D-917761CF2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4539b-39f3-4771-ac1a-16de5a20c394"/>
    <ds:schemaRef ds:uri="768c69c3-fa35-427a-bd39-62ed8a1a9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Saxenian</dc:creator>
  <cp:keywords/>
  <dc:description/>
  <cp:lastModifiedBy>Ivdity Chikovani</cp:lastModifiedBy>
  <cp:revision>3</cp:revision>
  <dcterms:created xsi:type="dcterms:W3CDTF">2019-10-31T08:09:00Z</dcterms:created>
  <dcterms:modified xsi:type="dcterms:W3CDTF">2019-10-31T08:13:00Z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0x010100C4C8B401AAE50B4896808F1C5415D9AD007C27743072DFDD458C10732A45EA6922</vt:lpwstr>
  </property>
  <property fmtid="{D5CDD505-2E9C-101B-9397-08002B2CF9AE}" pid="3" name="OW-Topics">
    <vt:lpwstr>123;#Health|dc69edcd-43cc-4690-a0cd-73f1415cf1ed</vt:lpwstr>
  </property>
</Properties>
</file>